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6E" w:rsidRPr="00E1168F" w:rsidRDefault="00806863" w:rsidP="00806863">
      <w:pPr>
        <w:jc w:val="center"/>
        <w:rPr>
          <w:b/>
        </w:rPr>
      </w:pPr>
      <w:r w:rsidRPr="00E1168F">
        <w:rPr>
          <w:b/>
        </w:rPr>
        <w:t>YÜKSEKÖĞRETİM KURULU BAŞKANLIĞI</w:t>
      </w:r>
    </w:p>
    <w:p w:rsidR="00806863" w:rsidRPr="00E1168F" w:rsidRDefault="00806863" w:rsidP="00806863">
      <w:pPr>
        <w:jc w:val="center"/>
        <w:rPr>
          <w:b/>
        </w:rPr>
      </w:pPr>
      <w:r w:rsidRPr="00E1168F">
        <w:rPr>
          <w:b/>
        </w:rPr>
        <w:t>YÜRÜTME KURULU KARARLARI</w:t>
      </w:r>
    </w:p>
    <w:p w:rsidR="00806863" w:rsidRPr="00E1168F" w:rsidRDefault="00806863" w:rsidP="00806863">
      <w:pPr>
        <w:jc w:val="both"/>
        <w:rPr>
          <w:b/>
        </w:rPr>
      </w:pPr>
      <w:r w:rsidRPr="00E1168F">
        <w:rPr>
          <w:b/>
        </w:rPr>
        <w:t>25.02.2015 TARİH VE 8 SAYILI OTURUM</w:t>
      </w:r>
    </w:p>
    <w:p w:rsidR="00806863" w:rsidRPr="00E1168F" w:rsidRDefault="00806863" w:rsidP="00806863">
      <w:pPr>
        <w:jc w:val="both"/>
        <w:rPr>
          <w:b/>
        </w:rPr>
      </w:pPr>
    </w:p>
    <w:p w:rsidR="00806863" w:rsidRPr="00E1168F" w:rsidRDefault="00806863" w:rsidP="00806863">
      <w:pPr>
        <w:pStyle w:val="ListeParagraf"/>
        <w:numPr>
          <w:ilvl w:val="0"/>
          <w:numId w:val="1"/>
        </w:numPr>
        <w:jc w:val="both"/>
        <w:rPr>
          <w:b/>
        </w:rPr>
      </w:pPr>
      <w:r w:rsidRPr="00E1168F">
        <w:rPr>
          <w:b/>
        </w:rPr>
        <w:t>Öğretim Elemanına İlişkin Karar</w:t>
      </w:r>
    </w:p>
    <w:p w:rsidR="00806863" w:rsidRDefault="00806863" w:rsidP="00806863">
      <w:pPr>
        <w:jc w:val="both"/>
      </w:pPr>
      <w:r>
        <w:t xml:space="preserve">23.08.2011 tarih ve 28034 sayılı Resmi Gazete’ de yayınlanan “Mevlana Değişim Programı’ </w:t>
      </w:r>
      <w:proofErr w:type="spellStart"/>
      <w:r>
        <w:t>na</w:t>
      </w:r>
      <w:proofErr w:type="spellEnd"/>
      <w:r>
        <w:t xml:space="preserve"> İlişkin Yönetmelik” in “Öğretim Elemanı Hareketliliği Kapsamı ve Süresi” başlıklı 24 üncü ve “Öğretim Elemanlarının Belirlenmesi” başlıklı 25 inci maddeleri </w:t>
      </w:r>
      <w:proofErr w:type="gramStart"/>
      <w:r>
        <w:t>ile</w:t>
      </w:r>
      <w:r w:rsidR="00F346D6">
        <w:t xml:space="preserve"> </w:t>
      </w:r>
      <w:r>
        <w:t xml:space="preserve"> 07</w:t>
      </w:r>
      <w:proofErr w:type="gramEnd"/>
      <w:r>
        <w:t xml:space="preserve">.07.2011 tarihli Yükseköğretim Genel Kurulu Toplantısı’ n da kabul edilen “Mevlana Değişim Programı Kapsamında Yükseköğretim Kurumlarına Aktarılacak Tutarların Kullanımı Muhasebeleştirilmesi, Yapılacak Ödemelerle İlgili Diğer Hususlara İlişkin Esas ve Usuller” çerçevesinde Mevlana Değişim Programı kapsamında yurt dışındaki yükseköğretim kurumlarından Öğretim Elemanı Hareketliliği kapsamında gelecek öğretim elemanlarının seçiminde; başvuru aşamasında beyan edeceği ve içerisinde öğretim elemanına ait özgeçmiş; gelmek istediği alanla ilgili varsa yayınlar, katıldığı projeler, yürüttüğü çalışmalar; öğretim elemanı hareketliliği kapsamında gelmek istediği alanda daha önce ders/seminer vb. verdiği veya vereceği eğitime ilişkin proje/çalışma/plan belgelerinin yer aldığı Akademik </w:t>
      </w:r>
      <w:proofErr w:type="spellStart"/>
      <w:r>
        <w:t>Port</w:t>
      </w:r>
      <w:r w:rsidR="00E1168F">
        <w:t>folyonun</w:t>
      </w:r>
      <w:proofErr w:type="spellEnd"/>
      <w:r w:rsidR="00E1168F">
        <w:t xml:space="preserve"> değerlendirme aşamasında dikkate alınması gerekliliği;</w:t>
      </w:r>
    </w:p>
    <w:p w:rsidR="00AC5635" w:rsidRDefault="00AC5635" w:rsidP="00806863">
      <w:pPr>
        <w:jc w:val="both"/>
      </w:pPr>
      <w:r>
        <w:t xml:space="preserve">Ayrıca, 11.06.2014 tarihli Yürütme Kurulu Kararında yer alan, Mevlana Değişim Programı kapsamında öğretim elemanı hareketliliği planında belirtilen değişim süresine ilişkin </w:t>
      </w:r>
      <w:proofErr w:type="gramStart"/>
      <w:r>
        <w:t>kriter</w:t>
      </w:r>
      <w:proofErr w:type="gramEnd"/>
      <w:r>
        <w:t xml:space="preserve"> yürürlükten kaldırılarak Mevlana Değişim Programı kapsamında yurtdışındaki yükseköğretim kurumlarından </w:t>
      </w:r>
      <w:r w:rsidR="00DE1080">
        <w:t xml:space="preserve">Öğretim Elemanı Hareketliliği </w:t>
      </w:r>
      <w:r w:rsidR="003D6247">
        <w:t xml:space="preserve">kapsamında gelecek öğretim elemanlarına yapılacak ödemelerin aşağıda sunulan tablodaki </w:t>
      </w:r>
      <w:r w:rsidR="003D6247" w:rsidRPr="003D6247">
        <w:rPr>
          <w:i/>
        </w:rPr>
        <w:t xml:space="preserve">(Mevlana Değişim Programı’ </w:t>
      </w:r>
      <w:proofErr w:type="spellStart"/>
      <w:r w:rsidR="003D6247" w:rsidRPr="003D6247">
        <w:rPr>
          <w:i/>
        </w:rPr>
        <w:t>ndan</w:t>
      </w:r>
      <w:proofErr w:type="spellEnd"/>
      <w:r w:rsidR="003D6247" w:rsidRPr="003D6247">
        <w:rPr>
          <w:i/>
        </w:rPr>
        <w:t xml:space="preserve"> faydalanacak Öğretim Elemanlarına Yapılacak Ulaşım Destek Ödeme Tablosu)</w:t>
      </w:r>
      <w:r w:rsidR="003D6247">
        <w:t xml:space="preserve"> tutarlara uygun olarak gerçekleştirilmesi ve öğretim elemanı hareketlilik planında belirtilen değişim süresinin en az 2 (iki) hafta en fazla 3 (üç) ay olarak belirlenmesine karar verildi.</w:t>
      </w:r>
    </w:p>
    <w:p w:rsidR="003D6247" w:rsidRDefault="003D6247" w:rsidP="003D6247">
      <w:pPr>
        <w:jc w:val="center"/>
        <w:rPr>
          <w:b/>
        </w:rPr>
      </w:pPr>
      <w:r w:rsidRPr="003D6247">
        <w:rPr>
          <w:b/>
        </w:rPr>
        <w:t xml:space="preserve">Mevlana Değişim Programı’ </w:t>
      </w:r>
      <w:proofErr w:type="spellStart"/>
      <w:r w:rsidRPr="003D6247">
        <w:rPr>
          <w:b/>
        </w:rPr>
        <w:t>ndan</w:t>
      </w:r>
      <w:proofErr w:type="spellEnd"/>
      <w:r w:rsidRPr="003D6247">
        <w:rPr>
          <w:b/>
        </w:rPr>
        <w:t xml:space="preserve"> Faydalanacak Öğretim Elemanlarına Yapılacak</w:t>
      </w:r>
    </w:p>
    <w:p w:rsidR="003D6247" w:rsidRPr="003D6247" w:rsidRDefault="003D6247" w:rsidP="003D6247">
      <w:pPr>
        <w:jc w:val="center"/>
        <w:rPr>
          <w:b/>
        </w:rPr>
      </w:pPr>
      <w:r w:rsidRPr="003D6247">
        <w:rPr>
          <w:b/>
        </w:rPr>
        <w:t xml:space="preserve"> Ulaşım Destek Ödeme Tablosu</w:t>
      </w:r>
    </w:p>
    <w:tbl>
      <w:tblPr>
        <w:tblStyle w:val="TabloKlavuzu"/>
        <w:tblW w:w="0" w:type="auto"/>
        <w:tblLook w:val="04A0" w:firstRow="1" w:lastRow="0" w:firstColumn="1" w:lastColumn="0" w:noHBand="0" w:noVBand="1"/>
      </w:tblPr>
      <w:tblGrid>
        <w:gridCol w:w="4606"/>
        <w:gridCol w:w="4606"/>
      </w:tblGrid>
      <w:tr w:rsidR="003D6247" w:rsidTr="003D6247">
        <w:tc>
          <w:tcPr>
            <w:tcW w:w="4606" w:type="dxa"/>
            <w:vAlign w:val="center"/>
          </w:tcPr>
          <w:p w:rsidR="003D6247" w:rsidRPr="004A44A5" w:rsidRDefault="003D6247" w:rsidP="003D6247">
            <w:pPr>
              <w:spacing w:line="360" w:lineRule="auto"/>
              <w:jc w:val="center"/>
              <w:rPr>
                <w:b/>
              </w:rPr>
            </w:pPr>
            <w:r w:rsidRPr="004A44A5">
              <w:rPr>
                <w:b/>
              </w:rPr>
              <w:t>ÜLKELER</w:t>
            </w:r>
          </w:p>
        </w:tc>
        <w:tc>
          <w:tcPr>
            <w:tcW w:w="4606" w:type="dxa"/>
            <w:vAlign w:val="center"/>
          </w:tcPr>
          <w:p w:rsidR="003D6247" w:rsidRPr="004A44A5" w:rsidRDefault="003D6247" w:rsidP="003D6247">
            <w:pPr>
              <w:spacing w:line="360" w:lineRule="auto"/>
              <w:jc w:val="center"/>
              <w:rPr>
                <w:b/>
              </w:rPr>
            </w:pPr>
            <w:r w:rsidRPr="004A44A5">
              <w:rPr>
                <w:b/>
              </w:rPr>
              <w:t>Ulaşım Gideri (TL)</w:t>
            </w:r>
          </w:p>
        </w:tc>
      </w:tr>
      <w:tr w:rsidR="003D6247" w:rsidTr="003D6247">
        <w:tc>
          <w:tcPr>
            <w:tcW w:w="4606" w:type="dxa"/>
            <w:vAlign w:val="center"/>
          </w:tcPr>
          <w:p w:rsidR="003D6247" w:rsidRDefault="003D6247" w:rsidP="003D6247">
            <w:pPr>
              <w:spacing w:line="360" w:lineRule="auto"/>
            </w:pPr>
            <w:r>
              <w:t>ABD, AVUSTURALYA, JAPONYA, KANADA, YENİ ZELANDA</w:t>
            </w:r>
          </w:p>
        </w:tc>
        <w:tc>
          <w:tcPr>
            <w:tcW w:w="4606" w:type="dxa"/>
            <w:vAlign w:val="center"/>
          </w:tcPr>
          <w:p w:rsidR="003D6247" w:rsidRDefault="003D6247" w:rsidP="003D6247">
            <w:pPr>
              <w:spacing w:line="360" w:lineRule="auto"/>
              <w:jc w:val="center"/>
            </w:pPr>
            <w:r>
              <w:t>4.000,00 TL</w:t>
            </w:r>
          </w:p>
        </w:tc>
      </w:tr>
      <w:tr w:rsidR="003D6247" w:rsidTr="003D6247">
        <w:tc>
          <w:tcPr>
            <w:tcW w:w="4606" w:type="dxa"/>
            <w:vAlign w:val="center"/>
          </w:tcPr>
          <w:p w:rsidR="003D6247" w:rsidRDefault="003D6247" w:rsidP="003D6247">
            <w:pPr>
              <w:spacing w:line="360" w:lineRule="auto"/>
            </w:pPr>
            <w:r>
              <w:t>DİĞER ÜLKELER</w:t>
            </w:r>
          </w:p>
        </w:tc>
        <w:tc>
          <w:tcPr>
            <w:tcW w:w="4606" w:type="dxa"/>
            <w:vAlign w:val="center"/>
          </w:tcPr>
          <w:p w:rsidR="003D6247" w:rsidRDefault="003D6247" w:rsidP="003D6247">
            <w:pPr>
              <w:spacing w:line="360" w:lineRule="auto"/>
              <w:jc w:val="center"/>
            </w:pPr>
            <w:r>
              <w:t>2.250,00 TL</w:t>
            </w:r>
          </w:p>
        </w:tc>
      </w:tr>
    </w:tbl>
    <w:p w:rsidR="004A44A5" w:rsidRDefault="004A44A5" w:rsidP="003D6247">
      <w:pPr>
        <w:spacing w:line="360" w:lineRule="auto"/>
        <w:jc w:val="center"/>
        <w:rPr>
          <w:b/>
        </w:rPr>
      </w:pPr>
    </w:p>
    <w:p w:rsidR="004A44A5" w:rsidRDefault="003D6247" w:rsidP="003D6247">
      <w:pPr>
        <w:spacing w:line="360" w:lineRule="auto"/>
        <w:jc w:val="center"/>
        <w:rPr>
          <w:b/>
        </w:rPr>
      </w:pPr>
      <w:r w:rsidRPr="003D6247">
        <w:rPr>
          <w:b/>
        </w:rPr>
        <w:t xml:space="preserve">Mevlana Değişim Programı’ </w:t>
      </w:r>
      <w:proofErr w:type="spellStart"/>
      <w:r w:rsidRPr="003D6247">
        <w:rPr>
          <w:b/>
        </w:rPr>
        <w:t>ndan</w:t>
      </w:r>
      <w:proofErr w:type="spellEnd"/>
      <w:r w:rsidRPr="003D6247">
        <w:rPr>
          <w:b/>
        </w:rPr>
        <w:t xml:space="preserve"> Faydalanacak Öğretim Elemanları Unvanına Göre </w:t>
      </w:r>
    </w:p>
    <w:p w:rsidR="003D6247" w:rsidRPr="003D6247" w:rsidRDefault="003D6247" w:rsidP="003D6247">
      <w:pPr>
        <w:spacing w:line="360" w:lineRule="auto"/>
        <w:jc w:val="center"/>
        <w:rPr>
          <w:b/>
        </w:rPr>
      </w:pPr>
      <w:r w:rsidRPr="003D6247">
        <w:rPr>
          <w:b/>
        </w:rPr>
        <w:t>Ödemeler Tablosu*</w:t>
      </w:r>
    </w:p>
    <w:tbl>
      <w:tblPr>
        <w:tblStyle w:val="TabloKlavuzu"/>
        <w:tblW w:w="0" w:type="auto"/>
        <w:tblLook w:val="04A0" w:firstRow="1" w:lastRow="0" w:firstColumn="1" w:lastColumn="0" w:noHBand="0" w:noVBand="1"/>
      </w:tblPr>
      <w:tblGrid>
        <w:gridCol w:w="3675"/>
        <w:gridCol w:w="3253"/>
        <w:gridCol w:w="3492"/>
      </w:tblGrid>
      <w:tr w:rsidR="004A44A5" w:rsidTr="004A44A5">
        <w:tc>
          <w:tcPr>
            <w:tcW w:w="3675" w:type="dxa"/>
            <w:vAlign w:val="center"/>
          </w:tcPr>
          <w:p w:rsidR="004A44A5" w:rsidRPr="004A44A5" w:rsidRDefault="004A44A5" w:rsidP="004A44A5">
            <w:pPr>
              <w:rPr>
                <w:b/>
              </w:rPr>
            </w:pPr>
            <w:r w:rsidRPr="004A44A5">
              <w:rPr>
                <w:b/>
              </w:rPr>
              <w:t>ÜNVAN</w:t>
            </w:r>
          </w:p>
        </w:tc>
        <w:tc>
          <w:tcPr>
            <w:tcW w:w="3253" w:type="dxa"/>
          </w:tcPr>
          <w:p w:rsidR="004A44A5" w:rsidRPr="004A44A5" w:rsidRDefault="004A44A5" w:rsidP="004A44A5">
            <w:pPr>
              <w:jc w:val="center"/>
              <w:rPr>
                <w:b/>
              </w:rPr>
            </w:pPr>
            <w:r w:rsidRPr="004A44A5">
              <w:rPr>
                <w:b/>
              </w:rPr>
              <w:t>Aylık Tutar (TL)</w:t>
            </w:r>
          </w:p>
        </w:tc>
        <w:tc>
          <w:tcPr>
            <w:tcW w:w="3492" w:type="dxa"/>
            <w:vAlign w:val="center"/>
          </w:tcPr>
          <w:p w:rsidR="004A44A5" w:rsidRPr="004A44A5" w:rsidRDefault="004A44A5" w:rsidP="004A44A5">
            <w:pPr>
              <w:jc w:val="center"/>
              <w:rPr>
                <w:b/>
              </w:rPr>
            </w:pPr>
            <w:r w:rsidRPr="004A44A5">
              <w:rPr>
                <w:b/>
              </w:rPr>
              <w:t>Günlük Tutar (TL)</w:t>
            </w:r>
          </w:p>
        </w:tc>
      </w:tr>
      <w:tr w:rsidR="004A44A5" w:rsidTr="004A44A5">
        <w:tc>
          <w:tcPr>
            <w:tcW w:w="3675" w:type="dxa"/>
            <w:vAlign w:val="center"/>
          </w:tcPr>
          <w:p w:rsidR="004A44A5" w:rsidRDefault="004A44A5" w:rsidP="004A44A5">
            <w:r>
              <w:t>Profesör</w:t>
            </w:r>
          </w:p>
        </w:tc>
        <w:tc>
          <w:tcPr>
            <w:tcW w:w="3253" w:type="dxa"/>
          </w:tcPr>
          <w:p w:rsidR="004A44A5" w:rsidRDefault="004A44A5" w:rsidP="004A44A5">
            <w:pPr>
              <w:jc w:val="center"/>
            </w:pPr>
            <w:r>
              <w:t>1.500,00 TL</w:t>
            </w:r>
          </w:p>
        </w:tc>
        <w:tc>
          <w:tcPr>
            <w:tcW w:w="3492" w:type="dxa"/>
            <w:vAlign w:val="center"/>
          </w:tcPr>
          <w:p w:rsidR="004A44A5" w:rsidRDefault="004A44A5" w:rsidP="004A44A5">
            <w:pPr>
              <w:jc w:val="center"/>
            </w:pPr>
            <w:r>
              <w:t>50,00 TL</w:t>
            </w:r>
          </w:p>
        </w:tc>
      </w:tr>
      <w:tr w:rsidR="004A44A5" w:rsidTr="004A44A5">
        <w:tc>
          <w:tcPr>
            <w:tcW w:w="3675" w:type="dxa"/>
            <w:vAlign w:val="center"/>
          </w:tcPr>
          <w:p w:rsidR="004A44A5" w:rsidRDefault="004A44A5" w:rsidP="004A44A5">
            <w:r>
              <w:t>Doçent Doktor</w:t>
            </w:r>
          </w:p>
        </w:tc>
        <w:tc>
          <w:tcPr>
            <w:tcW w:w="3253" w:type="dxa"/>
          </w:tcPr>
          <w:p w:rsidR="004A44A5" w:rsidRDefault="004A44A5" w:rsidP="004A44A5">
            <w:pPr>
              <w:jc w:val="center"/>
            </w:pPr>
            <w:r>
              <w:t>1.400,00 TL</w:t>
            </w:r>
          </w:p>
        </w:tc>
        <w:tc>
          <w:tcPr>
            <w:tcW w:w="3492" w:type="dxa"/>
            <w:vAlign w:val="center"/>
          </w:tcPr>
          <w:p w:rsidR="004A44A5" w:rsidRDefault="004A44A5" w:rsidP="004A44A5">
            <w:pPr>
              <w:jc w:val="center"/>
            </w:pPr>
            <w:r>
              <w:t>46,66 TL</w:t>
            </w:r>
          </w:p>
        </w:tc>
      </w:tr>
      <w:tr w:rsidR="004A44A5" w:rsidTr="004A44A5">
        <w:tc>
          <w:tcPr>
            <w:tcW w:w="3675" w:type="dxa"/>
            <w:vAlign w:val="center"/>
          </w:tcPr>
          <w:p w:rsidR="004A44A5" w:rsidRDefault="004A44A5" w:rsidP="004A44A5">
            <w:r>
              <w:t>Yardımcı Doçent Doktor</w:t>
            </w:r>
          </w:p>
        </w:tc>
        <w:tc>
          <w:tcPr>
            <w:tcW w:w="3253" w:type="dxa"/>
          </w:tcPr>
          <w:p w:rsidR="004A44A5" w:rsidRDefault="004A44A5" w:rsidP="004A44A5">
            <w:pPr>
              <w:jc w:val="center"/>
            </w:pPr>
            <w:r>
              <w:t>1.350,00 TL</w:t>
            </w:r>
          </w:p>
        </w:tc>
        <w:tc>
          <w:tcPr>
            <w:tcW w:w="3492" w:type="dxa"/>
            <w:vAlign w:val="center"/>
          </w:tcPr>
          <w:p w:rsidR="004A44A5" w:rsidRDefault="004A44A5" w:rsidP="004A44A5">
            <w:pPr>
              <w:jc w:val="center"/>
            </w:pPr>
            <w:r>
              <w:t>45,00 TL</w:t>
            </w:r>
          </w:p>
        </w:tc>
      </w:tr>
      <w:tr w:rsidR="004A44A5" w:rsidTr="004A44A5">
        <w:tc>
          <w:tcPr>
            <w:tcW w:w="3675" w:type="dxa"/>
            <w:vAlign w:val="center"/>
          </w:tcPr>
          <w:p w:rsidR="004A44A5" w:rsidRDefault="004A44A5" w:rsidP="004A44A5">
            <w:r>
              <w:t>Diğer</w:t>
            </w:r>
          </w:p>
        </w:tc>
        <w:tc>
          <w:tcPr>
            <w:tcW w:w="3253" w:type="dxa"/>
          </w:tcPr>
          <w:p w:rsidR="004A44A5" w:rsidRDefault="004A44A5" w:rsidP="004A44A5">
            <w:pPr>
              <w:jc w:val="center"/>
            </w:pPr>
            <w:r>
              <w:t>1.200,00 TL</w:t>
            </w:r>
          </w:p>
        </w:tc>
        <w:tc>
          <w:tcPr>
            <w:tcW w:w="3492" w:type="dxa"/>
            <w:vAlign w:val="center"/>
          </w:tcPr>
          <w:p w:rsidR="004A44A5" w:rsidRDefault="004A44A5" w:rsidP="004A44A5">
            <w:pPr>
              <w:jc w:val="center"/>
            </w:pPr>
            <w:r>
              <w:t>40,00 TL</w:t>
            </w:r>
          </w:p>
        </w:tc>
      </w:tr>
    </w:tbl>
    <w:p w:rsidR="003D6247" w:rsidRPr="004A44A5" w:rsidRDefault="004A44A5" w:rsidP="003D6247">
      <w:pPr>
        <w:spacing w:line="360" w:lineRule="auto"/>
        <w:jc w:val="both"/>
        <w:rPr>
          <w:b/>
          <w:i/>
        </w:rPr>
      </w:pPr>
      <w:r w:rsidRPr="004A44A5">
        <w:rPr>
          <w:b/>
          <w:i/>
        </w:rPr>
        <w:t>*Tabloda belirtilen yevmiye hesaplanırken 1 ay, 30 gün olarak dikkate alınmıştır.</w:t>
      </w:r>
    </w:p>
    <w:p w:rsidR="00E1168F" w:rsidRDefault="00E1168F" w:rsidP="00806863">
      <w:pPr>
        <w:jc w:val="both"/>
      </w:pPr>
    </w:p>
    <w:p w:rsidR="00806863" w:rsidRDefault="004A44A5" w:rsidP="001A76A9">
      <w:pPr>
        <w:pStyle w:val="ListeParagraf"/>
        <w:numPr>
          <w:ilvl w:val="0"/>
          <w:numId w:val="1"/>
        </w:numPr>
        <w:jc w:val="both"/>
        <w:rPr>
          <w:b/>
        </w:rPr>
      </w:pPr>
      <w:r w:rsidRPr="004A44A5">
        <w:rPr>
          <w:b/>
        </w:rPr>
        <w:lastRenderedPageBreak/>
        <w:t>Öğrenci Burs Ödemelerine İlişkin Karar</w:t>
      </w:r>
    </w:p>
    <w:p w:rsidR="004A44A5" w:rsidRDefault="004A44A5" w:rsidP="001A76A9">
      <w:pPr>
        <w:jc w:val="both"/>
      </w:pPr>
      <w:r>
        <w:t xml:space="preserve">Mevlana Değişim Programına katılacak yükseköğretim kurumlarının, 23.08.2011 tarih ve 28034 sayılı Resmi Gazete’ de yayımlanan “Mevlana Değişim Programı’ </w:t>
      </w:r>
      <w:proofErr w:type="spellStart"/>
      <w:r>
        <w:t>na</w:t>
      </w:r>
      <w:proofErr w:type="spellEnd"/>
      <w:r>
        <w:t xml:space="preserve"> İlişkin Yönetmelik” ile </w:t>
      </w:r>
      <w:r w:rsidR="001A76A9">
        <w:t xml:space="preserve">“Mevlana Değişim Programı Kapsamında Yükseköğretim Kurumlarına Aktarılacak Tutarın Kullanımı, Muhasebeleştirilmesi, Yapılacak Ödemeler ile İlgili Diğer </w:t>
      </w:r>
      <w:proofErr w:type="gramStart"/>
      <w:r w:rsidR="001A76A9">
        <w:t>Hususlara  İlişkin</w:t>
      </w:r>
      <w:proofErr w:type="gramEnd"/>
      <w:r w:rsidR="001A76A9">
        <w:t xml:space="preserve"> Esas ve Usuller”  çerçevesinde, yurtiçindeki yükseköğretim kurumlarından yurtdışındaki yükseköğretim kurumlarına gidecek öğrencilere ve Program kapsamında yurtdışındaki yükseköğretim kurumlarından Türkiye’ deki yükseköğretim kurumlarına gelecek olan öğrencilere, 2015 – 2016 eğitim öğretim döneminden itibaren geçerli olmak üzere yapılacak burs ödemesi hesaplamalarında bir yarıyılın 4 ay olarak belirlenmesine karar verildi.</w:t>
      </w:r>
    </w:p>
    <w:p w:rsidR="001A76A9" w:rsidRPr="00F346D6" w:rsidRDefault="001A76A9" w:rsidP="001A76A9">
      <w:pPr>
        <w:pStyle w:val="ListeParagraf"/>
        <w:numPr>
          <w:ilvl w:val="0"/>
          <w:numId w:val="1"/>
        </w:numPr>
        <w:jc w:val="both"/>
        <w:rPr>
          <w:b/>
        </w:rPr>
      </w:pPr>
      <w:r w:rsidRPr="00F346D6">
        <w:rPr>
          <w:b/>
        </w:rPr>
        <w:t>Giden Öğretim Elemanına İlişkin Karar</w:t>
      </w:r>
    </w:p>
    <w:p w:rsidR="001A76A9" w:rsidRDefault="001A76A9" w:rsidP="001A76A9">
      <w:pPr>
        <w:jc w:val="both"/>
      </w:pPr>
      <w:r>
        <w:t>Mevlana Değişim P</w:t>
      </w:r>
      <w:r w:rsidR="00F346D6">
        <w:t>r</w:t>
      </w:r>
      <w:r>
        <w:t xml:space="preserve">ogramı </w:t>
      </w:r>
      <w:r w:rsidR="00F346D6">
        <w:t>kapsamında yurtdışındaki yükseköğretim kurumlarına gönderilecek öğretim elemanlarına yapılacak ödemelere ilişkin 06.5.2014 tarihli Yürütme Kurulu Kararı yürürlükten kaldırılmıştır.</w:t>
      </w:r>
    </w:p>
    <w:p w:rsidR="00F346D6" w:rsidRDefault="00F346D6" w:rsidP="001A76A9">
      <w:pPr>
        <w:jc w:val="both"/>
        <w:rPr>
          <w:b/>
        </w:rPr>
      </w:pPr>
      <w:proofErr w:type="gramStart"/>
      <w:r>
        <w:t xml:space="preserve">23.08.2011 tarih ve 28034 sayılı Resmi Gazete’ de yayınlanan “Mevlana Değişim Programı’ </w:t>
      </w:r>
      <w:proofErr w:type="spellStart"/>
      <w:r>
        <w:t>na</w:t>
      </w:r>
      <w:proofErr w:type="spellEnd"/>
      <w:r>
        <w:t xml:space="preserve"> İlişkin Yönetmelik” in “Öğretim Elemanı Hareketliliği Kapsamı ve Süresi” başlıklı 24 üncü</w:t>
      </w:r>
      <w:r>
        <w:t xml:space="preserve">, 25 inci ve 26 </w:t>
      </w:r>
      <w:proofErr w:type="spellStart"/>
      <w:r>
        <w:t>ıncı</w:t>
      </w:r>
      <w:proofErr w:type="spellEnd"/>
      <w:r>
        <w:t xml:space="preserve"> maddeleri ile Değişim Talebi başlıklı 28 inci maddesi çerçevesinde </w:t>
      </w:r>
      <w:r w:rsidRPr="00F346D6">
        <w:rPr>
          <w:b/>
        </w:rPr>
        <w:t>yurtdışındaki yükseköğretim kurumlarına yapılacak öğretim elemanı hareketliliğinin, 2015 – 2016 akademik yılından geçerli olmak üzere ikinci bir Yürütme Kurulu Kararına kadar durdurulmasına karar verildi.</w:t>
      </w:r>
      <w:proofErr w:type="gramEnd"/>
    </w:p>
    <w:p w:rsidR="00F346D6" w:rsidRDefault="00F346D6" w:rsidP="00F346D6">
      <w:pPr>
        <w:pStyle w:val="ListeParagraf"/>
        <w:numPr>
          <w:ilvl w:val="0"/>
          <w:numId w:val="1"/>
        </w:numPr>
        <w:jc w:val="both"/>
        <w:rPr>
          <w:b/>
        </w:rPr>
      </w:pPr>
      <w:r>
        <w:rPr>
          <w:b/>
        </w:rPr>
        <w:t xml:space="preserve">Öğrenci Burslarına İlişkin Karar </w:t>
      </w:r>
    </w:p>
    <w:p w:rsidR="00F346D6" w:rsidRDefault="00F346D6" w:rsidP="00F346D6">
      <w:pPr>
        <w:jc w:val="both"/>
      </w:pPr>
      <w:r>
        <w:t xml:space="preserve">23.08.2011 tarih ve 28034 sayılı Resmi Gazete’ de yayınlanan “Mevlana Değişim Programı’ </w:t>
      </w:r>
      <w:proofErr w:type="spellStart"/>
      <w:r>
        <w:t>na</w:t>
      </w:r>
      <w:proofErr w:type="spellEnd"/>
      <w:r>
        <w:t xml:space="preserve"> İlişkin Yönetmelik”</w:t>
      </w:r>
      <w:r>
        <w:t xml:space="preserve"> ve </w:t>
      </w:r>
      <w:proofErr w:type="gramStart"/>
      <w:r>
        <w:t>ile  07</w:t>
      </w:r>
      <w:proofErr w:type="gramEnd"/>
      <w:r>
        <w:t>.07.2011 tarihli Yükseköğretim Genel Kurulu Toplantısı’ n da kabul edilen “Mevlana Değişim Programı Kapsamında Yükseköğretim Kurumlarına Aktarılacak Tutarların Kullanımı Muhasebeleştirilmesi, Yapılacak Ödemelerle İlgili Diğer Hususlara İlişkin Esas ve Usuller” çerçevesinde</w:t>
      </w:r>
      <w:r>
        <w:t xml:space="preserve"> yurt içindeki yükseköğretim </w:t>
      </w:r>
      <w:r w:rsidR="00C266A7">
        <w:t xml:space="preserve">kurumlarından yurt </w:t>
      </w:r>
      <w:r w:rsidR="0053262E">
        <w:t xml:space="preserve">dışındaki yükseköğretim kurumlarına gidecek öğrencilere Program kapsamında ödenecek burslar ve ülkelere göre dağılımı ile yurt dışındaki yükseköğretim kurumlarından Türkiye’ deki </w:t>
      </w:r>
      <w:proofErr w:type="spellStart"/>
      <w:r w:rsidR="0053262E">
        <w:t>yükseöğretim</w:t>
      </w:r>
      <w:proofErr w:type="spellEnd"/>
      <w:r w:rsidR="0053262E">
        <w:t xml:space="preserve"> kurumlarına gelecek olan öğrencilere;</w:t>
      </w:r>
    </w:p>
    <w:p w:rsidR="0053262E" w:rsidRDefault="0053262E" w:rsidP="0053262E">
      <w:pPr>
        <w:pStyle w:val="ListeParagraf"/>
        <w:numPr>
          <w:ilvl w:val="0"/>
          <w:numId w:val="2"/>
        </w:numPr>
        <w:jc w:val="both"/>
      </w:pPr>
      <w:r w:rsidRPr="0053262E">
        <w:t xml:space="preserve">Mevlana </w:t>
      </w:r>
      <w:r>
        <w:t>Değişim Programı kapsamında burslu Mevlana Değişim Programı Öğrencisi olarak Türkiye’ ye gelecek öğrencilere 750,00 TL aylık burs ödenmesine,</w:t>
      </w:r>
    </w:p>
    <w:p w:rsidR="0053262E" w:rsidRDefault="0053262E" w:rsidP="0053262E">
      <w:pPr>
        <w:pStyle w:val="ListeParagraf"/>
        <w:numPr>
          <w:ilvl w:val="0"/>
          <w:numId w:val="2"/>
        </w:numPr>
        <w:jc w:val="both"/>
      </w:pPr>
      <w:r>
        <w:t>Mevlana Değişim Programı kapsamında burslu Mevlana Değişim Programı Öğrencisi olarak gidilecek öğrencilere aşağıda sunulan tablodaki tutarlar kadar aylık burs miktarı ödenmesine, karar verildi.</w:t>
      </w:r>
    </w:p>
    <w:p w:rsidR="00122A9C" w:rsidRDefault="00122A9C" w:rsidP="00122A9C">
      <w:pPr>
        <w:pStyle w:val="ListeParagraf"/>
        <w:jc w:val="both"/>
      </w:pPr>
    </w:p>
    <w:p w:rsidR="00122A9C" w:rsidRDefault="00122A9C" w:rsidP="00122A9C">
      <w:pPr>
        <w:pStyle w:val="ListeParagraf"/>
        <w:numPr>
          <w:ilvl w:val="0"/>
          <w:numId w:val="1"/>
        </w:numPr>
        <w:jc w:val="both"/>
        <w:rPr>
          <w:b/>
        </w:rPr>
      </w:pPr>
      <w:r w:rsidRPr="00122A9C">
        <w:rPr>
          <w:b/>
        </w:rPr>
        <w:t>Uyruklara İlişkin Karar</w:t>
      </w:r>
    </w:p>
    <w:p w:rsidR="00E177D4" w:rsidRDefault="00122A9C" w:rsidP="00122A9C">
      <w:pPr>
        <w:jc w:val="both"/>
      </w:pPr>
      <w:proofErr w:type="gramStart"/>
      <w:r>
        <w:t xml:space="preserve">23.08.2011 tarih ve 28034 sayılı Resmi Gazete’ de yayınlanan “Mevlana Değişim Programı’ </w:t>
      </w:r>
      <w:proofErr w:type="spellStart"/>
      <w:r>
        <w:t>na</w:t>
      </w:r>
      <w:proofErr w:type="spellEnd"/>
      <w:r>
        <w:t xml:space="preserve"> İlişkin Yönetmelik”</w:t>
      </w:r>
      <w:r>
        <w:t xml:space="preserve"> çerçevesinde 2015 – 2016 eğitim öğretim yılından itibaren geçerli olmak üzere Mevlana Değişim Programı kapsamında </w:t>
      </w:r>
      <w:r w:rsidR="00E177D4">
        <w:t>yurtiçindeki yükseköğrenim kurumlarına gelecek öğrenci ve öğretim elemanlarının Türkiye Cumhuriyeti uyruklu olmamalarına ayrıca, yurtiçindeki yükseköğretim kurumlarından yurtdışındaki yükseköğretim kurumlarına gidecek öğrencilerin, kabul edildikleri ülkelerin vatandaşı olmamalarına karar verildi.</w:t>
      </w:r>
      <w:proofErr w:type="gramEnd"/>
    </w:p>
    <w:p w:rsidR="00E177D4" w:rsidRDefault="00E177D4" w:rsidP="00E177D4">
      <w:pPr>
        <w:pStyle w:val="ListeParagraf"/>
        <w:numPr>
          <w:ilvl w:val="0"/>
          <w:numId w:val="1"/>
        </w:numPr>
        <w:jc w:val="both"/>
        <w:rPr>
          <w:b/>
        </w:rPr>
      </w:pPr>
      <w:bookmarkStart w:id="0" w:name="_GoBack"/>
      <w:bookmarkEnd w:id="0"/>
      <w:r w:rsidRPr="00E177D4">
        <w:rPr>
          <w:b/>
        </w:rPr>
        <w:t>Ülke Kotalarına İlişkin Karar</w:t>
      </w:r>
    </w:p>
    <w:p w:rsidR="00E177D4" w:rsidRDefault="00E177D4" w:rsidP="00E177D4">
      <w:pPr>
        <w:jc w:val="both"/>
      </w:pPr>
      <w:proofErr w:type="gramStart"/>
      <w:r>
        <w:t xml:space="preserve">Mevlana Değişim Programına katılacak yurtiçi yükseköğretim kurumlarını, 23.08.2011 tarih ve 28034 sayılı Resmi Gazete’ de yayımlanan “Mevlana Değişim Programı’ </w:t>
      </w:r>
      <w:proofErr w:type="spellStart"/>
      <w:r>
        <w:t>na</w:t>
      </w:r>
      <w:proofErr w:type="spellEnd"/>
      <w:r>
        <w:t xml:space="preserve"> ilişkin Yönetmelik” kapsamında, </w:t>
      </w:r>
      <w:r>
        <w:t>2015 – 2016 eğitim öğretim yılından itibaren geçerli olmak üzere</w:t>
      </w:r>
      <w:r>
        <w:t xml:space="preserve">, gelen/giden öğrenci ve öğretim elemanı değerlendirmelerinde </w:t>
      </w:r>
      <w:proofErr w:type="spellStart"/>
      <w:r>
        <w:t>Azerbeycan</w:t>
      </w:r>
      <w:proofErr w:type="spellEnd"/>
      <w:r>
        <w:t>, Gürcistan, Kazakistan, Kırgızistan, Moğolistan, Özbekistan, Tacikistan, Türkmenistan için toplam en fazla %40 kontenjan tahsis etmelerine karar verildi.</w:t>
      </w:r>
      <w:proofErr w:type="gramEnd"/>
    </w:p>
    <w:p w:rsidR="00E177D4" w:rsidRDefault="00E177D4" w:rsidP="00E177D4">
      <w:pPr>
        <w:jc w:val="both"/>
      </w:pPr>
    </w:p>
    <w:p w:rsidR="00E177D4" w:rsidRDefault="00E177D4" w:rsidP="00E177D4">
      <w:pPr>
        <w:pStyle w:val="ListeParagraf"/>
        <w:numPr>
          <w:ilvl w:val="0"/>
          <w:numId w:val="1"/>
        </w:numPr>
        <w:jc w:val="both"/>
        <w:rPr>
          <w:b/>
        </w:rPr>
      </w:pPr>
      <w:r w:rsidRPr="00E177D4">
        <w:rPr>
          <w:b/>
        </w:rPr>
        <w:lastRenderedPageBreak/>
        <w:t>Yemen Cumhuriyeti Hakkında Alınan Karar</w:t>
      </w:r>
    </w:p>
    <w:p w:rsidR="00E177D4" w:rsidRPr="00E177D4" w:rsidRDefault="0099171D" w:rsidP="00E177D4">
      <w:pPr>
        <w:jc w:val="both"/>
      </w:pPr>
      <w:r>
        <w:t xml:space="preserve">Mevlana Değişim Programına katılacak yükseköğretim kurumlarının, 23.08.2011 tarih ve 28034 sayılı Resmi Gazete’ de yayınlanan “Mevlana Değişim Programı’ </w:t>
      </w:r>
      <w:proofErr w:type="spellStart"/>
      <w:r>
        <w:t>na</w:t>
      </w:r>
      <w:proofErr w:type="spellEnd"/>
      <w:r>
        <w:t xml:space="preserve"> İlişkin </w:t>
      </w:r>
      <w:proofErr w:type="spellStart"/>
      <w:r>
        <w:t>Yönetmellik</w:t>
      </w:r>
      <w:proofErr w:type="spellEnd"/>
      <w:r>
        <w:t xml:space="preserve">” in Ortak Protokol başlıklı 5 inci Değişim Talebi başlıklı 28 inci maddesi çerçevesinde Yemen Cumhuriyeti’n de bulunan yükseköğretim kurumlarıyla Program kapsamında öğrenci ve öğretim </w:t>
      </w:r>
      <w:proofErr w:type="gramStart"/>
      <w:r>
        <w:t>elemanı  değişim</w:t>
      </w:r>
      <w:proofErr w:type="gramEnd"/>
      <w:r>
        <w:t xml:space="preserve"> hareketliliğinin 2015 – 2016 akademik yılından geçerli olmak üzere ikinci bir Yürütme Kurulu kararına kadar durdurulmasına karar verildi.</w:t>
      </w:r>
    </w:p>
    <w:sectPr w:rsidR="00E177D4" w:rsidRPr="00E177D4" w:rsidSect="003D624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16AA"/>
    <w:multiLevelType w:val="hybridMultilevel"/>
    <w:tmpl w:val="39666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B84B3B"/>
    <w:multiLevelType w:val="hybridMultilevel"/>
    <w:tmpl w:val="4C72FEB2"/>
    <w:lvl w:ilvl="0" w:tplc="0818F0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3"/>
    <w:rsid w:val="00122A9C"/>
    <w:rsid w:val="001A76A9"/>
    <w:rsid w:val="003D6247"/>
    <w:rsid w:val="004A44A5"/>
    <w:rsid w:val="0053262E"/>
    <w:rsid w:val="00806863"/>
    <w:rsid w:val="0099171D"/>
    <w:rsid w:val="00AB5FA5"/>
    <w:rsid w:val="00AC5635"/>
    <w:rsid w:val="00AE2C6E"/>
    <w:rsid w:val="00C266A7"/>
    <w:rsid w:val="00DE1080"/>
    <w:rsid w:val="00E1168F"/>
    <w:rsid w:val="00E177D4"/>
    <w:rsid w:val="00F34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6863"/>
    <w:pPr>
      <w:ind w:left="720"/>
      <w:contextualSpacing/>
    </w:pPr>
  </w:style>
  <w:style w:type="table" w:styleId="TabloKlavuzu">
    <w:name w:val="Table Grid"/>
    <w:basedOn w:val="NormalTablo"/>
    <w:uiPriority w:val="59"/>
    <w:rsid w:val="003D6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6863"/>
    <w:pPr>
      <w:ind w:left="720"/>
      <w:contextualSpacing/>
    </w:pPr>
  </w:style>
  <w:style w:type="table" w:styleId="TabloKlavuzu">
    <w:name w:val="Table Grid"/>
    <w:basedOn w:val="NormalTablo"/>
    <w:uiPriority w:val="59"/>
    <w:rsid w:val="003D6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1001</Words>
  <Characters>5709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cp:revision>
  <dcterms:created xsi:type="dcterms:W3CDTF">2015-03-24T09:03:00Z</dcterms:created>
  <dcterms:modified xsi:type="dcterms:W3CDTF">2015-03-24T13:42:00Z</dcterms:modified>
</cp:coreProperties>
</file>